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both"/>
        <w:rPr>
          <w:rFonts w:hint="default" w:ascii="Times New Roman" w:hAnsi="Times New Roman" w:cs="Times New Roman"/>
          <w:b/>
          <w:lang w:eastAsia="ko-KR"/>
        </w:rPr>
      </w:pPr>
    </w:p>
    <w:p>
      <w:pPr>
        <w:pStyle w:val="15"/>
        <w:ind w:left="644" w:right="720"/>
        <w:jc w:val="center"/>
        <w:rPr>
          <w:rFonts w:hint="default" w:ascii="Times New Roman" w:hAnsi="Times New Roman" w:cs="Times New Roman"/>
          <w:b/>
          <w:bCs/>
          <w:sz w:val="24"/>
          <w:szCs w:val="24"/>
        </w:rPr>
      </w:pPr>
      <w:r>
        <w:rPr>
          <w:rFonts w:hint="default" w:ascii="Times New Roman" w:hAnsi="Times New Roman" w:cs="Times New Roman"/>
          <w:b/>
          <w:bCs/>
          <w:sz w:val="24"/>
          <w:szCs w:val="24"/>
        </w:rPr>
        <w:t>Refund Policy</w:t>
      </w:r>
    </w:p>
    <w:p>
      <w:pPr>
        <w:pStyle w:val="15"/>
        <w:ind w:left="644" w:right="720"/>
        <w:jc w:val="both"/>
        <w:rPr>
          <w:rFonts w:hint="default" w:ascii="Times New Roman" w:hAnsi="Times New Roman" w:cs="Times New Roman"/>
          <w:sz w:val="24"/>
          <w:szCs w:val="24"/>
        </w:rPr>
      </w:pPr>
    </w:p>
    <w:p>
      <w:pPr>
        <w:pStyle w:val="15"/>
        <w:ind w:left="0" w:leftChars="0" w:right="146" w:rightChars="0" w:firstLine="0" w:firstLineChars="0"/>
        <w:jc w:val="both"/>
        <w:rPr>
          <w:rFonts w:hint="default" w:ascii="Times New Roman" w:hAnsi="Times New Roman" w:cs="Times New Roman"/>
          <w:sz w:val="24"/>
          <w:szCs w:val="24"/>
          <w:lang w:eastAsia="ko-KR"/>
        </w:rPr>
      </w:pPr>
      <w:r>
        <w:rPr>
          <w:rFonts w:hint="default" w:ascii="Times New Roman" w:hAnsi="Times New Roman" w:cs="Times New Roman"/>
          <w:b/>
          <w:bCs w:val="0"/>
          <w:sz w:val="24"/>
          <w:szCs w:val="24"/>
          <w:lang w:val="en-US" w:eastAsia="zh-CN"/>
        </w:rPr>
        <w:t xml:space="preserve">NPC </w:t>
      </w:r>
      <w:r>
        <w:rPr>
          <w:rFonts w:hint="default" w:ascii="Times New Roman" w:hAnsi="Times New Roman" w:cs="Times New Roman"/>
          <w:b/>
          <w:bCs w:val="0"/>
          <w:sz w:val="24"/>
          <w:szCs w:val="24"/>
          <w:lang w:eastAsia="ko-KR"/>
        </w:rPr>
        <w:t xml:space="preserve">College </w:t>
      </w:r>
      <w:r>
        <w:rPr>
          <w:rFonts w:hint="default" w:ascii="Times New Roman" w:hAnsi="Times New Roman" w:cs="Times New Roman"/>
          <w:b/>
          <w:bCs w:val="0"/>
          <w:sz w:val="24"/>
          <w:szCs w:val="24"/>
          <w:lang w:val="en-US" w:eastAsia="zh-CN"/>
        </w:rPr>
        <w:t>of Arts + Design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ko-KR"/>
        </w:rPr>
        <w:t>has</w:t>
      </w:r>
      <w:r>
        <w:rPr>
          <w:rFonts w:hint="default" w:ascii="Times New Roman" w:hAnsi="Times New Roman" w:cs="Times New Roman"/>
          <w:sz w:val="24"/>
          <w:szCs w:val="24"/>
        </w:rPr>
        <w:t xml:space="preserve"> a refund policy which may also be found</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described, in full, on the student enrolment contract. </w:t>
      </w:r>
    </w:p>
    <w:p>
      <w:pPr>
        <w:pStyle w:val="15"/>
        <w:ind w:left="644" w:right="720"/>
        <w:jc w:val="both"/>
        <w:rPr>
          <w:rFonts w:hint="default" w:ascii="Times New Roman" w:hAnsi="Times New Roman" w:cs="Times New Roman"/>
          <w:sz w:val="24"/>
          <w:szCs w:val="24"/>
          <w:lang w:eastAsia="ko-KR"/>
        </w:rPr>
      </w:pP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If the institution receives tuition from the student, or a person on behalf of the student, the institution will refund the student, or the person who paid on behalf of the student, the tuition that was paid in relation to the program in which the student is enrolled if:</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institution receives a notice of withdrawal from the student no later than seven days after the effective contract date and before the contract start date;</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student, or the student’s parent or legal guardian, signs the student enrolment contract seven days or less before the contract start date and the institution receives a notice of withdrawal from the student between the date the student, or the student’s parent or legal guardian, signed the student enrolment contract and the contract start date; or</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student does not attend a work experience component and the institution does not provide all of the hours of instruction of the work experience component within 30 days of the contract end date.</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The institution will refund the tuition for the program and all related fees paid by the student or a person on behalf of the student enrolled in the program if the student is enrolled in the program without having met the admission requirements and did not misrepresent his or her knowledge or skills when applying for admission.</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If a student does not attend any of the first 30% of the hours of instruction to be provided during the contract term, the institution may retain up to 50% of the tuition paid under the student enrolment contract unless the program is provided solely through distance education.</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Unless the program is provided solely through distance education, if the institution receives a notice of withdrawal from a student:</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more than seven days after the effective contract date and</w:t>
      </w:r>
    </w:p>
    <w:p>
      <w:pPr>
        <w:pStyle w:val="15"/>
        <w:numPr>
          <w:ilvl w:val="2"/>
          <w:numId w:val="1"/>
        </w:numPr>
        <w:spacing w:line="276" w:lineRule="auto"/>
        <w:jc w:val="both"/>
        <w:rPr>
          <w:rFonts w:hint="default" w:ascii="Times New Roman" w:hAnsi="Times New Roman" w:cs="Times New Roman"/>
        </w:rPr>
      </w:pPr>
      <w:r>
        <w:rPr>
          <w:rFonts w:hint="default" w:ascii="Times New Roman" w:hAnsi="Times New Roman" w:cs="Times New Roman"/>
        </w:rPr>
        <w:t>at least 30 days before the contract start date, the institution may retain up to 10% of the tuition due under the student enrolment contract, to a maximum of $1,000.</w:t>
      </w:r>
    </w:p>
    <w:p>
      <w:pPr>
        <w:pStyle w:val="15"/>
        <w:numPr>
          <w:ilvl w:val="2"/>
          <w:numId w:val="1"/>
        </w:numPr>
        <w:spacing w:line="276" w:lineRule="auto"/>
        <w:jc w:val="both"/>
        <w:rPr>
          <w:rFonts w:hint="default" w:ascii="Times New Roman" w:hAnsi="Times New Roman" w:cs="Times New Roman"/>
        </w:rPr>
      </w:pPr>
      <w:r>
        <w:rPr>
          <w:rFonts w:hint="default" w:ascii="Times New Roman" w:hAnsi="Times New Roman" w:cs="Times New Roman"/>
        </w:rPr>
        <w:t>less than 30 days before the contract start date, the institution may retain up to 20% of the tuition due under the student enrolment contract, to a maximum of $1,300.</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after the contract start date</w:t>
      </w:r>
    </w:p>
    <w:p>
      <w:pPr>
        <w:pStyle w:val="15"/>
        <w:numPr>
          <w:ilvl w:val="2"/>
          <w:numId w:val="1"/>
        </w:numPr>
        <w:spacing w:line="276" w:lineRule="auto"/>
        <w:jc w:val="both"/>
        <w:rPr>
          <w:rFonts w:hint="default" w:ascii="Times New Roman" w:hAnsi="Times New Roman" w:cs="Times New Roman"/>
        </w:rPr>
      </w:pPr>
      <w:r>
        <w:rPr>
          <w:rFonts w:hint="default" w:ascii="Times New Roman" w:hAnsi="Times New Roman" w:cs="Times New Roman"/>
        </w:rPr>
        <w:t>but before 11% of the hours of instruction to be provided during the contract term have been provided, the institution may retain up to 30% of the tuition due under the student enrolment contract.</w:t>
      </w:r>
    </w:p>
    <w:p>
      <w:pPr>
        <w:pStyle w:val="15"/>
        <w:numPr>
          <w:ilvl w:val="2"/>
          <w:numId w:val="1"/>
        </w:numPr>
        <w:spacing w:line="276" w:lineRule="auto"/>
        <w:jc w:val="both"/>
        <w:rPr>
          <w:rFonts w:hint="default" w:ascii="Times New Roman" w:hAnsi="Times New Roman" w:cs="Times New Roman"/>
        </w:rPr>
      </w:pPr>
      <w:r>
        <w:rPr>
          <w:rFonts w:hint="default" w:ascii="Times New Roman" w:hAnsi="Times New Roman" w:cs="Times New Roman"/>
        </w:rPr>
        <w:t>and after 10% but before 30% of the hours of instruction to be provided during the contract term have been provided, the institution may retain up to 50% of the tuition due under the student enrolment contract.</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Unless the program is provided solely through distance education, if the institution provides a notice of dismissal to a student and the date the institution delivers the notice to the student is:</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before 11% of the hours of instruction to be provided during the contract term have been provided, the institution may retain up to 30% of the tuition due under the student enrolment contract.</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after 10% but before 30% of the hours of instruction to be provided during the contract term have been provided, the institution may retain up to 50% of the tuition due under the student enrolment contract.</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If the institution provides the program solely through distance education and the institution receives a student’s notice of withdrawal or the institution delivers a notice of dismissal to the student and:</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student has completed and received an evaluation of his or her performance for up to 30% of the hours of instruction to be provided during the contract term, the institution may retain up to 30% of the tuition due under the student enrolment contract, or</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student has completed and received an evaluation of his or her performance for more than 30% but less than 50% of the program, the institution may retain up to 50% of the tuition due under the student enrolment contract.</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The institution will refund fees charged for course materials paid for but not received if the student provides a notice of withdrawal to the institution or the institution provides a notice of dismissal to the student.</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Refunds required under this policy will be paid to the student, or a person who paid the tuition or fees on behalf of the student, within 30 days:</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of the date the institution receives a student’s notice of withdrawal,</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of the date the institution provides a notice of dismissal to the student,</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of the date that the registrar provides notice to the institution that the institution is not complying with section 1(c) or 2 of this policy, or</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after the first 30% of the hours of instruction if section 3 of this policy applies.</w:t>
      </w:r>
    </w:p>
    <w:p>
      <w:pPr>
        <w:pStyle w:val="15"/>
        <w:numPr>
          <w:ilvl w:val="0"/>
          <w:numId w:val="1"/>
        </w:numPr>
        <w:spacing w:line="276" w:lineRule="auto"/>
        <w:jc w:val="both"/>
        <w:rPr>
          <w:rFonts w:hint="default" w:ascii="Times New Roman" w:hAnsi="Times New Roman" w:cs="Times New Roman"/>
        </w:rPr>
      </w:pPr>
      <w:r>
        <w:rPr>
          <w:rFonts w:hint="default" w:ascii="Times New Roman" w:hAnsi="Times New Roman" w:cs="Times New Roman"/>
        </w:rPr>
        <w:t>If an international student delivers a copy of a refusal of a study permit to the institution, sections 1(a), 1(b), 4, 7,</w:t>
      </w:r>
      <w:r>
        <w:rPr>
          <w:rFonts w:hint="default" w:ascii="Times New Roman" w:hAnsi="Times New Roman" w:cs="Times New Roman"/>
        </w:rPr>
        <w:fldChar w:fldCharType="begin"/>
      </w:r>
      <w:r>
        <w:rPr>
          <w:rFonts w:hint="default" w:ascii="Times New Roman" w:hAnsi="Times New Roman" w:cs="Times New Roman"/>
        </w:rPr>
        <w:instrText xml:space="preserve"> REF _Ref455562981 \r \h  \* MERGEFORMAT </w:instrText>
      </w:r>
      <w:r>
        <w:rPr>
          <w:rFonts w:hint="default" w:ascii="Times New Roman" w:hAnsi="Times New Roman" w:cs="Times New Roman"/>
        </w:rPr>
        <w:fldChar w:fldCharType="end"/>
      </w:r>
      <w:r>
        <w:rPr>
          <w:rFonts w:hint="default" w:ascii="Times New Roman" w:hAnsi="Times New Roman" w:cs="Times New Roman"/>
        </w:rPr>
        <w:t xml:space="preserve"> and 8 of this policy apply as if the copy of the refusal were a notice of withdrawal, unless:</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international student requests an additional letter of acceptance for the same program that was the subject of the refusal of a study permit, or</w:t>
      </w:r>
      <w:r>
        <w:rPr>
          <w:rFonts w:hint="eastAsia" w:ascii="Times New Roman" w:hAnsi="Times New Roman" w:cs="Times New Roman"/>
          <w:lang w:val="en-US" w:eastAsia="zh-CN"/>
        </w:rPr>
        <w:t xml:space="preserve"> </w:t>
      </w:r>
    </w:p>
    <w:p>
      <w:pPr>
        <w:pStyle w:val="15"/>
        <w:numPr>
          <w:ilvl w:val="1"/>
          <w:numId w:val="1"/>
        </w:numPr>
        <w:spacing w:line="276" w:lineRule="auto"/>
        <w:jc w:val="both"/>
        <w:rPr>
          <w:rFonts w:hint="default" w:ascii="Times New Roman" w:hAnsi="Times New Roman" w:cs="Times New Roman"/>
        </w:rPr>
      </w:pPr>
      <w:r>
        <w:rPr>
          <w:rFonts w:hint="default" w:ascii="Times New Roman" w:hAnsi="Times New Roman" w:cs="Times New Roman"/>
        </w:rPr>
        <w:t>the program is provided solely through distance education.</w:t>
      </w:r>
    </w:p>
    <w:p>
      <w:bookmarkStart w:id="0" w:name="_GoBack"/>
      <w:bookmarkEnd w:id="0"/>
    </w:p>
    <w:sectPr>
      <w:headerReference r:id="rId3" w:type="default"/>
      <w:footerReference r:id="rId4" w:type="default"/>
      <w:pgSz w:w="11906" w:h="16838"/>
      <w:pgMar w:top="1100" w:right="896" w:bottom="930" w:left="8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1" locked="0" layoutInCell="1" allowOverlap="1">
          <wp:simplePos x="0" y="0"/>
          <wp:positionH relativeFrom="page">
            <wp:posOffset>-67310</wp:posOffset>
          </wp:positionH>
          <wp:positionV relativeFrom="page">
            <wp:posOffset>-101600</wp:posOffset>
          </wp:positionV>
          <wp:extent cx="7562215" cy="1337945"/>
          <wp:effectExtent l="0" t="0" r="0" b="0"/>
          <wp:wrapTight wrapText="bothSides">
            <wp:wrapPolygon>
              <wp:start x="435" y="3383"/>
              <wp:lineTo x="435" y="14762"/>
              <wp:lineTo x="21547" y="14762"/>
              <wp:lineTo x="21547" y="3383"/>
              <wp:lineTo x="435" y="3383"/>
            </wp:wrapPolygon>
          </wp:wrapTight>
          <wp:docPr id="1" name="图片 1" descr="C:\Users\Meng\Desktop\Letter Head-NPC for word.pngLetter Head-NP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ng\Desktop\Letter Head-NPC for word.pngLetter Head-NPC for word"/>
                  <pic:cNvPicPr>
                    <a:picLocks noChangeAspect="1"/>
                  </pic:cNvPicPr>
                </pic:nvPicPr>
                <pic:blipFill>
                  <a:blip r:embed="rId1"/>
                  <a:srcRect/>
                  <a:stretch>
                    <a:fillRect/>
                  </a:stretch>
                </pic:blipFill>
                <pic:spPr>
                  <a:xfrm>
                    <a:off x="0" y="0"/>
                    <a:ext cx="7562215" cy="1337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04AE1"/>
    <w:multiLevelType w:val="multilevel"/>
    <w:tmpl w:val="7D504AE1"/>
    <w:lvl w:ilvl="0" w:tentative="0">
      <w:start w:val="1"/>
      <w:numFmt w:val="decimal"/>
      <w:lvlText w:val="%1."/>
      <w:lvlJc w:val="left"/>
      <w:pPr>
        <w:ind w:left="720" w:hanging="360"/>
      </w:pPr>
    </w:lvl>
    <w:lvl w:ilvl="1" w:tentative="0">
      <w:start w:val="1"/>
      <w:numFmt w:val="lowerLetter"/>
      <w:lvlText w:val="(%2)"/>
      <w:lvlJc w:val="left"/>
      <w:pPr>
        <w:ind w:left="1440" w:hanging="360"/>
      </w:pPr>
      <w:rPr>
        <w:rFonts w:hint="default" w:asciiTheme="minorHAnsi" w:hAnsi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7912"/>
    <w:rsid w:val="096027C4"/>
    <w:rsid w:val="1279348B"/>
    <w:rsid w:val="12EF63A2"/>
    <w:rsid w:val="26823D6B"/>
    <w:rsid w:val="39127E87"/>
    <w:rsid w:val="3E2C4232"/>
    <w:rsid w:val="46A61A72"/>
    <w:rsid w:val="722C1FDC"/>
    <w:rsid w:val="7BA17912"/>
    <w:rsid w:val="7FDC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semiHidden/>
    <w:unhideWhenUsed/>
    <w:qFormat/>
    <w:uiPriority w:val="99"/>
    <w:rPr>
      <w:color w:val="0000FF"/>
      <w:u w:val="single"/>
    </w:rPr>
  </w:style>
  <w:style w:type="paragraph" w:customStyle="1" w:styleId="13">
    <w:name w:val="No Spacing"/>
    <w:basedOn w:val="1"/>
    <w:qFormat/>
    <w:uiPriority w:val="1"/>
    <w:rPr>
      <w:rFonts w:cs="Times New Roman"/>
      <w:szCs w:val="32"/>
    </w:rPr>
  </w:style>
  <w:style w:type="character" w:customStyle="1" w:styleId="14">
    <w:name w:val="Subtle Emphasis"/>
    <w:qFormat/>
    <w:uiPriority w:val="19"/>
    <w:rPr>
      <w:i/>
      <w:color w:val="595959" w:themeColor="text1" w:themeTint="A6"/>
      <w14:textFill>
        <w14:solidFill>
          <w14:schemeClr w14:val="tx1">
            <w14:lumMod w14:val="65000"/>
            <w14:lumOff w14:val="35000"/>
          </w14:schemeClr>
        </w14:solidFill>
      </w14:textFill>
    </w:rPr>
  </w:style>
  <w:style w:type="paragraph" w:styleId="15">
    <w:name w:val="List Paragraph"/>
    <w:basedOn w:val="1"/>
    <w:qFormat/>
    <w:uiPriority w:val="34"/>
    <w:pPr>
      <w:spacing w:after="200" w:line="252" w:lineRule="auto"/>
      <w:ind w:left="720"/>
      <w:contextualSpacing/>
    </w:pPr>
    <w:rPr>
      <w:rFonts w:ascii="Cambria" w:hAnsi="Cambria"/>
      <w:sz w:val="22"/>
      <w:szCs w:val="22"/>
      <w:lang w:val="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2020-03-06T00:07:00Z</dcterms:created>
  <dc:creator>邱小幪_✨</dc:creator>
  <cp:lastModifiedBy>Jackie Zhang张菁</cp:lastModifiedBy>
  <dcterms:modified xsi:type="dcterms:W3CDTF">2020-06-25T01:25:34Z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